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&lt;&lt;Letterhead&gt;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&lt;&lt;recipient&gt;&gt;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 &lt;&lt;patient name, DOB&gt;&gt;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To Whom It May Concern: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&lt;&lt;Patient name&gt;&gt;, is currently under my care and has the following diagnosis: &lt;&lt;diagnostic codes and descriptors&gt;&gt;.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7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Patient has a history of wandering from safe environments and has exhibited goal-directed elopements, loss of understanding his/her present location or fleeing in response to agitation or confusion.  &lt;&lt; discussion of diagnosis&gt;&gt;.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7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7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7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&lt;&lt;Optional paragraph&gt;&gt; For these reasons, Patient has an additional diagnosis of Wandering In Diseases Classified Elsewhere (ICD-10-CM, Z91.83).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7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 order to ensure Patient’s safety, it is my opinion that it is medically necessary to institute proper safeguards.  Such safeguards should include 1. living space enhancements, such as alarms, locks and reminders, and 2. patient-location monitoring technologies that can provide location information to the caregiver, safe-zone creating and monitoring and real-time communications between the Patient and a caregiver.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7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73"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